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Shipping</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851"/>
        <w:gridCol w:w="2892"/>
        <w:gridCol w:w="1307"/>
      </w:tblGrid>
      <w:tr>
        <w:trPr>
          <w:trHeight w:val="1" w:hRule="atLeast"/>
          <w:jc w:val="left"/>
        </w:trPr>
        <w:tc>
          <w:tcPr>
            <w:tcW w:w="85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Method</w:t>
            </w:r>
          </w:p>
        </w:tc>
        <w:tc>
          <w:tcPr>
            <w:tcW w:w="289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Shipping Time</w:t>
            </w:r>
          </w:p>
        </w:tc>
        <w:tc>
          <w:tcPr>
            <w:tcW w:w="13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Cost</w:t>
            </w:r>
          </w:p>
        </w:tc>
      </w:tr>
      <w:tr>
        <w:trPr>
          <w:trHeight w:val="1" w:hRule="atLeast"/>
          <w:jc w:val="left"/>
        </w:trPr>
        <w:tc>
          <w:tcPr>
            <w:tcW w:w="85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Standard</w:t>
            </w:r>
          </w:p>
        </w:tc>
        <w:tc>
          <w:tcPr>
            <w:tcW w:w="289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Arrives in 5-8 business days</w:t>
            </w:r>
          </w:p>
        </w:tc>
        <w:tc>
          <w:tcPr>
            <w:tcW w:w="13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FREE</w:t>
            </w:r>
          </w:p>
        </w:tc>
      </w:tr>
      <w:tr>
        <w:trPr>
          <w:trHeight w:val="1" w:hRule="atLeast"/>
          <w:jc w:val="left"/>
        </w:trPr>
        <w:tc>
          <w:tcPr>
            <w:tcW w:w="85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Express</w:t>
            </w:r>
          </w:p>
        </w:tc>
        <w:tc>
          <w:tcPr>
            <w:tcW w:w="289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Arrives in 2-3 business days</w:t>
            </w:r>
          </w:p>
        </w:tc>
        <w:tc>
          <w:tcPr>
            <w:tcW w:w="13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$14.95</w:t>
            </w:r>
          </w:p>
        </w:tc>
      </w:tr>
      <w:tr>
        <w:trPr>
          <w:trHeight w:val="1" w:hRule="atLeast"/>
          <w:jc w:val="left"/>
        </w:trPr>
        <w:tc>
          <w:tcPr>
            <w:tcW w:w="85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Rush</w:t>
            </w:r>
          </w:p>
        </w:tc>
        <w:tc>
          <w:tcPr>
            <w:tcW w:w="289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Arrives in 1-2 business days</w:t>
            </w:r>
          </w:p>
        </w:tc>
        <w:tc>
          <w:tcPr>
            <w:tcW w:w="13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$21.95</w:t>
            </w:r>
          </w:p>
        </w:tc>
      </w:tr>
      <w:tr>
        <w:trPr>
          <w:trHeight w:val="1" w:hRule="atLeast"/>
          <w:jc w:val="left"/>
        </w:trPr>
        <w:tc>
          <w:tcPr>
            <w:tcW w:w="851"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Truck</w:t>
            </w:r>
          </w:p>
        </w:tc>
        <w:tc>
          <w:tcPr>
            <w:tcW w:w="2892"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Arrives in 2-4 weeks once shipped</w:t>
            </w:r>
          </w:p>
        </w:tc>
        <w:tc>
          <w:tcPr>
            <w:tcW w:w="1307" w:type="dxa"/>
            <w:tcBorders>
              <w:top w:val="single" w:color="000000" w:sz="0"/>
              <w:left w:val="single" w:color="000000" w:sz="0"/>
              <w:bottom w:val="single" w:color="000000" w:sz="0"/>
              <w:right w:val="single" w:color="000000" w:sz="0"/>
            </w:tcBorders>
            <w:shd w:color="000000" w:fill="ffffff" w:val="clear"/>
            <w:tcMar>
              <w:left w:w="10" w:type="dxa"/>
              <w:right w:w="1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Cost may vary</w:t>
            </w:r>
          </w:p>
        </w:tc>
      </w:tr>
    </w:tbl>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These shipping rates are not applicable for orders shipped outside of the US. Some oversized items may require an additional shipping charge. Free Shipping applies only to merchandise; taxes and Gift Cards do not count toward the Free Shipping total. Rush Shipping may not be available for all orders depending on fulfillment location.</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Shipping is currently offered in the Continental United States Only.</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0000FF"/>
          <w:spacing w:val="0"/>
          <w:position w:val="0"/>
          <w:sz w:val="24"/>
          <w:u w:val="single"/>
          <w:shd w:fill="auto" w:val="clear"/>
        </w:rPr>
      </w:pPr>
    </w:p>
    <w:p>
      <w:pPr>
        <w:keepNext w:val="true"/>
        <w:keepLines w:val="true"/>
        <w:spacing w:before="200" w:after="0" w:line="240"/>
        <w:ind w:right="0" w:left="0" w:firstLine="0"/>
        <w:jc w:val="left"/>
        <w:rPr>
          <w:rFonts w:ascii="Calibri" w:hAnsi="Calibri" w:cs="Calibri" w:eastAsia="Calibri"/>
          <w:b/>
          <w:color w:val="4F81BD"/>
          <w:spacing w:val="0"/>
          <w:position w:val="0"/>
          <w:sz w:val="24"/>
          <w:shd w:fill="auto" w:val="clear"/>
        </w:rPr>
      </w:pPr>
      <w:r>
        <w:rPr>
          <w:rFonts w:ascii="Calibri" w:hAnsi="Calibri" w:cs="Calibri" w:eastAsia="Calibri"/>
          <w:b/>
          <w:color w:val="0000FF"/>
          <w:spacing w:val="0"/>
          <w:position w:val="0"/>
          <w:sz w:val="24"/>
          <w:u w:val="single"/>
          <w:shd w:fill="auto" w:val="clear"/>
        </w:rPr>
        <w:t xml:space="preserve">Our Shipping Process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 package and ship your order as soon as possible. We start working on your order immediately, so we are unable to make any changes or modifications to an order after it has been placed. </w:t>
        <w:br/>
        <w:br/>
        <w:t xml:space="preserve">Orders are subject to verification and approval before shipping and may take several days to process. We only ship packages during the business week and do not ship on Saturdays, Sundays or holidays. While we will do all we can to ensure your order is delivered on time.Knights Chamber cannot be held responsible for conditions beyond our control such as severe weather, service interruptions, etc.</w:t>
      </w:r>
    </w:p>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